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EC" w:rsidRDefault="00073390" w:rsidP="00E206EC">
      <w:pPr>
        <w:pStyle w:val="Kopfzeile"/>
        <w:ind w:right="-150"/>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1369695</wp:posOffset>
                </wp:positionH>
                <wp:positionV relativeFrom="paragraph">
                  <wp:posOffset>643255</wp:posOffset>
                </wp:positionV>
                <wp:extent cx="5130800" cy="7366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5pt;margin-top:50.65pt;width:404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O+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c3O00UKJgq2+flsBvNwBakOp411/i3XHQqTGltg&#10;PqKT3Z3zo+vBJVzmtBRsJaSMC7tZ30iLdgRUsorfHv2Fm1TBWelwbEQcdyBIuCPYQriR9acyy4v0&#10;Oi8nq9liPilWxXRSztPFJM3K63KWFmVxu/oeAsyKqhWMcXUnFD8oMCv+juF9L4zaiRpEfY3LaT4d&#10;Kfpjkmn8fpdkJzw0pBRdjaHg8AUnUgVi3ygW554IOc6Tl+FHQqAGh3+sSpRBYH7UgB/WA6AEbaw1&#10;ewRBWA18AbXwisCk1fYbRj10ZI3d1y2xHCP5ToGoyqwoQgvHRTGd57Cwp5b1qYUoClA19hiN0xs/&#10;tv3WWLFp4aZRxkpfgRAbETXyHNVevtB1MZn9CxHa+nQdvZ7fseUPAAAA//8DAFBLAwQUAAYACAAA&#10;ACEAdMjntN4AAAAMAQAADwAAAGRycy9kb3ducmV2LnhtbEyPy07DMBBF90j8gzVIbBB1HrSBEKcC&#10;JBDbln7AJJ4mEbEdxW6T/j2TFV3OnKs7Z4rtbHpxptF3ziqIVxEIsrXTnW0UHH4+H59B+IBWY+8s&#10;KbiQh215e1Ngrt1kd3Teh0ZwifU5KmhDGHIpfd2SQb9yA1lmRzcaDDyOjdQjTlxueplE0UYa7Cxf&#10;aHGgj5bq3/3JKDh+Tw/rl6n6Cods97R5xy6r3EWp+7v57RVEoDn8h2HRZ3Uo2alyJ6u96BUk8Trj&#10;KIMoTkEsiShJeVUtLEtBloW8fqL8AwAA//8DAFBLAQItABQABgAIAAAAIQC2gziS/gAAAOEBAAAT&#10;AAAAAAAAAAAAAAAAAAAAAABbQ29udGVudF9UeXBlc10ueG1sUEsBAi0AFAAGAAgAAAAhADj9If/W&#10;AAAAlAEAAAsAAAAAAAAAAAAAAAAALwEAAF9yZWxzLy5yZWxzUEsBAi0AFAAGAAgAAAAhACbgw76B&#10;AgAADwUAAA4AAAAAAAAAAAAAAAAALgIAAGRycy9lMm9Eb2MueG1sUEsBAi0AFAAGAAgAAAAhAHTI&#10;57TeAAAADAEAAA8AAAAAAAAAAAAAAAAA2wQAAGRycy9kb3ducmV2LnhtbFBLBQYAAAAABAAEAPMA&#10;AADmBQAAAAA=&#10;" stroked="f">
                <v:textbo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v:textbox>
              </v:shape>
            </w:pict>
          </mc:Fallback>
        </mc:AlternateContent>
      </w:r>
      <w:r w:rsidR="00E206EC">
        <w:rPr>
          <w:noProof/>
          <w:lang w:eastAsia="de-DE"/>
        </w:rPr>
        <w:drawing>
          <wp:inline distT="0" distB="0" distL="0" distR="0">
            <wp:extent cx="6181725" cy="1257300"/>
            <wp:effectExtent l="19050" t="0" r="9525" b="0"/>
            <wp:docPr id="3" name="Bild 1" descr="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itelleisteoben4c"/>
                    <pic:cNvPicPr>
                      <a:picLocks noChangeAspect="1" noChangeArrowheads="1"/>
                    </pic:cNvPicPr>
                  </pic:nvPicPr>
                  <pic:blipFill>
                    <a:blip r:embed="rId9" cstate="print"/>
                    <a:srcRect/>
                    <a:stretch>
                      <a:fillRect/>
                    </a:stretch>
                  </pic:blipFill>
                  <pic:spPr bwMode="auto">
                    <a:xfrm>
                      <a:off x="0" y="0"/>
                      <a:ext cx="6181725" cy="1257300"/>
                    </a:xfrm>
                    <a:prstGeom prst="rect">
                      <a:avLst/>
                    </a:prstGeom>
                    <a:noFill/>
                    <a:ln w="9525">
                      <a:noFill/>
                      <a:miter lim="800000"/>
                      <a:headEnd/>
                      <a:tailEnd/>
                    </a:ln>
                  </pic:spPr>
                </pic:pic>
              </a:graphicData>
            </a:graphic>
          </wp:inline>
        </w:drawing>
      </w:r>
    </w:p>
    <w:p w:rsidR="00E206EC" w:rsidRDefault="00E206EC" w:rsidP="00E206EC">
      <w:pPr>
        <w:pStyle w:val="Kopfzeile"/>
      </w:pPr>
    </w:p>
    <w:p w:rsidR="006D5F90" w:rsidRDefault="00073390">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43180</wp:posOffset>
                </wp:positionV>
                <wp:extent cx="6120765" cy="0"/>
                <wp:effectExtent l="17145" t="14605" r="1524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2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Esm6SPsylGdPAlpBgSjXX+M9cdCkaJJXCOwOT47HwgQoohJNyj9EZI&#10;GcWWCvXAdpFO05jhtBQseEOcs/tdJS06EpiXh/jFssBzH2b1QbGI1nLC1lfbEyEvNtwuVcCDWoDP&#10;1boMxI9FuljP1/N8lE9m61Ge1vXo06bKR7NN9jitH+qqqrOfgVqWF61gjKvAbhjOLP878a/P5DJW&#10;t/G89SF5jx4bBmSHfyQdxQz6XSZhp9l5aweRYR5j8PXthIG/34N9/8JXvwAAAP//AwBQSwMEFAAG&#10;AAgAAAAhABAyoCnZAAAABQEAAA8AAABkcnMvZG93bnJldi54bWxMjsFOwzAQRO9I/IO1SNyokwql&#10;bYhTISQk6CWicODoxEsSEa8j20kDX8/ChR5HM3rziv1iBzGjD70jBekqAYHUONNTq+Dt9fFmCyJE&#10;TUYPjlDBFwbYl5cXhc6NO9ELzsfYCoZQyLWCLsYxlzI0HVodVm5E4u7DeasjR99K4/WJ4XaQ6yTJ&#10;pNU98UOnR3zosPk8TpYpm6fd+J767zqjZ3+o5mozHSqlrq+W+zsQEZf4P4ZffVaHkp1qN5EJYlBw&#10;u+ahgoz9ud1l2xRE/ZdlWchz+/IHAAD//wMAUEsBAi0AFAAGAAgAAAAhALaDOJL+AAAA4QEAABMA&#10;AAAAAAAAAAAAAAAAAAAAAFtDb250ZW50X1R5cGVzXS54bWxQSwECLQAUAAYACAAAACEAOP0h/9YA&#10;AACUAQAACwAAAAAAAAAAAAAAAAAvAQAAX3JlbHMvLnJlbHNQSwECLQAUAAYACAAAACEAFyKNtBMC&#10;AAApBAAADgAAAAAAAAAAAAAAAAAuAgAAZHJzL2Uyb0RvYy54bWxQSwECLQAUAAYACAAAACEAEDKg&#10;KdkAAAAFAQAADwAAAAAAAAAAAAAAAABtBAAAZHJzL2Rvd25yZXYueG1sUEsFBgAAAAAEAAQA8wAA&#10;AHMFAAAAAA==&#10;" strokecolor="#333" strokeweight="1.5pt"/>
            </w:pict>
          </mc:Fallback>
        </mc:AlternateContent>
      </w:r>
    </w:p>
    <w:p w:rsidR="00E1115A" w:rsidRDefault="00E1115A"/>
    <w:p w:rsidR="0088674A" w:rsidRPr="0088674A" w:rsidRDefault="00EA3D24" w:rsidP="0088674A">
      <w:pPr>
        <w:spacing w:after="240" w:line="276" w:lineRule="auto"/>
        <w:jc w:val="left"/>
        <w:rPr>
          <w:b/>
          <w:sz w:val="32"/>
          <w:szCs w:val="32"/>
        </w:rPr>
      </w:pPr>
      <w:proofErr w:type="spellStart"/>
      <w:r w:rsidRPr="0088674A">
        <w:rPr>
          <w:b/>
          <w:bCs/>
          <w:sz w:val="32"/>
          <w:szCs w:val="32"/>
        </w:rPr>
        <w:t>WIn</w:t>
      </w:r>
      <w:proofErr w:type="spellEnd"/>
      <w:r w:rsidRPr="0088674A">
        <w:rPr>
          <w:b/>
          <w:bCs/>
          <w:sz w:val="32"/>
          <w:szCs w:val="32"/>
        </w:rPr>
        <w:t xml:space="preserve"> </w:t>
      </w:r>
      <w:r w:rsidR="00EF0744" w:rsidRPr="0088674A">
        <w:rPr>
          <w:b/>
          <w:bCs/>
          <w:sz w:val="32"/>
          <w:szCs w:val="32"/>
        </w:rPr>
        <w:t>10</w:t>
      </w:r>
      <w:r w:rsidRPr="0088674A">
        <w:rPr>
          <w:b/>
          <w:bCs/>
          <w:sz w:val="32"/>
          <w:szCs w:val="32"/>
        </w:rPr>
        <w:t xml:space="preserve">.1: </w:t>
      </w:r>
      <w:r w:rsidR="00EF0744" w:rsidRPr="0088674A">
        <w:rPr>
          <w:b/>
          <w:bCs/>
          <w:sz w:val="32"/>
          <w:szCs w:val="32"/>
        </w:rPr>
        <w:t>Hintergrundinformation</w:t>
      </w:r>
      <w:r w:rsidR="0088674A" w:rsidRPr="0088674A">
        <w:rPr>
          <w:b/>
          <w:bCs/>
          <w:sz w:val="32"/>
          <w:szCs w:val="32"/>
        </w:rPr>
        <w:t xml:space="preserve"> zu Investor Relations (IR)</w:t>
      </w:r>
    </w:p>
    <w:p w:rsidR="00826DB0" w:rsidRDefault="00826DB0" w:rsidP="00B423C4">
      <w:pPr>
        <w:spacing w:after="120" w:line="276" w:lineRule="auto"/>
      </w:pPr>
      <w:r>
        <w:t>„Angesichts von Börsenboom und Crash hat sich die Investor Relations als Teil der Finanzkommunikation in den vergangenen Jahren als wichtiger Funktionsbereich etabliert. Sie unterstützt den Dialog zwischen kapitalsuchenden Unternehmen, Investoren und Finanzanalysten und ist nicht zuletzt aufgrund der vergangenen Finanzkrisen und den damit verbundenen Herausforderungen wichtiger denn je. Denn Investoren wollen in Zeiten von Korruption, Bilanzfälschungen, geplatzten Übernahmen und Insolvenzen genauer wissen, wem sie ihr Geld anvertrauen. Nicht erst seit der Bankrotterklärung der US-Investmentbank Lehman Brothers und der damit verbundenen Weltwirtschaftskrise ist eine permanente, kontinuierliche und glaubwürdige Kommunikation mit dem Kapitalmarkt und seinen Akteuren wichtiger denn je.“</w:t>
      </w:r>
    </w:p>
    <w:p w:rsidR="00684E70" w:rsidRPr="00684E70" w:rsidRDefault="00A25A17" w:rsidP="00684E70">
      <w:pPr>
        <w:pStyle w:val="authors"/>
        <w:spacing w:before="0" w:beforeAutospacing="0" w:after="0" w:afterAutospacing="0"/>
        <w:jc w:val="right"/>
        <w:rPr>
          <w:rFonts w:ascii="Arial" w:eastAsia="Arial" w:hAnsi="Arial"/>
          <w:sz w:val="20"/>
          <w:szCs w:val="20"/>
          <w:lang w:eastAsia="en-US"/>
        </w:rPr>
      </w:pPr>
      <w:r w:rsidRPr="00684E70">
        <w:rPr>
          <w:rFonts w:ascii="Arial" w:hAnsi="Arial" w:cs="Arial"/>
          <w:sz w:val="20"/>
          <w:szCs w:val="20"/>
        </w:rPr>
        <w:t>Quelle</w:t>
      </w:r>
      <w:r w:rsidR="00826DB0" w:rsidRPr="00684E70">
        <w:rPr>
          <w:rFonts w:ascii="Arial" w:hAnsi="Arial" w:cs="Arial"/>
          <w:sz w:val="20"/>
          <w:szCs w:val="20"/>
        </w:rPr>
        <w:t xml:space="preserve">: </w:t>
      </w:r>
      <w:bookmarkStart w:id="0" w:name="_GoBack"/>
      <w:bookmarkEnd w:id="0"/>
      <w:r w:rsidR="00684E70" w:rsidRPr="00684E70">
        <w:rPr>
          <w:rFonts w:ascii="Arial" w:hAnsi="Arial" w:cs="Arial"/>
          <w:sz w:val="20"/>
          <w:szCs w:val="20"/>
        </w:rPr>
        <w:t>Hillmann</w:t>
      </w:r>
      <w:r w:rsidR="00684E70" w:rsidRPr="00684E70">
        <w:rPr>
          <w:rFonts w:ascii="Arial" w:hAnsi="Arial" w:cs="Arial"/>
          <w:sz w:val="20"/>
          <w:szCs w:val="20"/>
        </w:rPr>
        <w:t xml:space="preserve">, </w:t>
      </w:r>
      <w:r w:rsidR="00684E70">
        <w:rPr>
          <w:rFonts w:ascii="Arial" w:hAnsi="Arial" w:cs="Arial"/>
          <w:sz w:val="20"/>
          <w:szCs w:val="20"/>
        </w:rPr>
        <w:t>Unternehmenskommunikation kompakt</w:t>
      </w:r>
      <w:r w:rsidR="00684E70">
        <w:rPr>
          <w:rFonts w:ascii="Arial" w:eastAsia="Arial" w:hAnsi="Arial"/>
          <w:sz w:val="20"/>
          <w:szCs w:val="20"/>
          <w:lang w:eastAsia="en-US"/>
        </w:rPr>
        <w:t>, Gabler Verlag, 2011</w:t>
      </w:r>
      <w:r w:rsidR="00684E70" w:rsidRPr="00684E70">
        <w:rPr>
          <w:rFonts w:ascii="Arial" w:eastAsia="Arial" w:hAnsi="Arial"/>
          <w:sz w:val="20"/>
          <w:szCs w:val="20"/>
          <w:vertAlign w:val="superscript"/>
          <w:lang w:eastAsia="en-US"/>
        </w:rPr>
        <w:t>1</w:t>
      </w:r>
      <w:r w:rsidR="00684E70">
        <w:rPr>
          <w:rFonts w:ascii="Arial" w:eastAsia="Arial" w:hAnsi="Arial"/>
          <w:sz w:val="20"/>
          <w:szCs w:val="20"/>
          <w:lang w:eastAsia="en-US"/>
        </w:rPr>
        <w:t>, S. 49</w:t>
      </w:r>
    </w:p>
    <w:p w:rsidR="00826DB0" w:rsidRPr="00826DB0" w:rsidRDefault="00826DB0" w:rsidP="00B423C4">
      <w:pPr>
        <w:spacing w:after="120" w:line="276" w:lineRule="auto"/>
        <w:jc w:val="right"/>
        <w:rPr>
          <w:sz w:val="20"/>
          <w:szCs w:val="20"/>
        </w:rPr>
      </w:pPr>
    </w:p>
    <w:p w:rsidR="00826DB0" w:rsidRDefault="00826DB0" w:rsidP="00B423C4">
      <w:pPr>
        <w:pStyle w:val="StandardWeb"/>
        <w:spacing w:before="0" w:beforeAutospacing="0" w:after="120" w:afterAutospacing="0" w:line="276" w:lineRule="auto"/>
        <w:jc w:val="both"/>
        <w:rPr>
          <w:rFonts w:ascii="Arial" w:hAnsi="Arial" w:cs="Arial"/>
          <w:b/>
          <w:sz w:val="22"/>
          <w:szCs w:val="22"/>
        </w:rPr>
      </w:pPr>
    </w:p>
    <w:p w:rsidR="00704088" w:rsidRPr="00704088" w:rsidRDefault="00EF0744" w:rsidP="00B423C4">
      <w:pPr>
        <w:pStyle w:val="StandardWeb"/>
        <w:spacing w:before="0" w:beforeAutospacing="0" w:after="120" w:afterAutospacing="0" w:line="276" w:lineRule="auto"/>
        <w:jc w:val="both"/>
        <w:rPr>
          <w:rFonts w:ascii="Arial" w:hAnsi="Arial" w:cs="Arial"/>
          <w:b/>
          <w:sz w:val="22"/>
          <w:szCs w:val="22"/>
        </w:rPr>
      </w:pPr>
      <w:r>
        <w:rPr>
          <w:rFonts w:ascii="Arial" w:hAnsi="Arial" w:cs="Arial"/>
          <w:b/>
          <w:sz w:val="22"/>
          <w:szCs w:val="22"/>
        </w:rPr>
        <w:t>Begriffsdefinition</w:t>
      </w:r>
    </w:p>
    <w:p w:rsidR="005824D7" w:rsidRDefault="00EF0744" w:rsidP="00B423C4">
      <w:pPr>
        <w:pStyle w:val="StandardWeb"/>
        <w:spacing w:before="0" w:beforeAutospacing="0" w:after="120" w:afterAutospacing="0" w:line="276" w:lineRule="auto"/>
        <w:jc w:val="both"/>
        <w:rPr>
          <w:rFonts w:ascii="Arial" w:hAnsi="Arial" w:cs="Arial"/>
          <w:sz w:val="22"/>
          <w:szCs w:val="22"/>
        </w:rPr>
      </w:pPr>
      <w:r>
        <w:rPr>
          <w:rFonts w:ascii="Arial" w:hAnsi="Arial" w:cs="Arial"/>
          <w:sz w:val="22"/>
          <w:szCs w:val="22"/>
        </w:rPr>
        <w:t>Unter Investor Relations (auch: Finanzkommunikation) versteht man den finanzmarktbezogenen Tei</w:t>
      </w:r>
      <w:r w:rsidR="005824D7">
        <w:rPr>
          <w:rFonts w:ascii="Arial" w:hAnsi="Arial" w:cs="Arial"/>
          <w:sz w:val="22"/>
          <w:szCs w:val="22"/>
        </w:rPr>
        <w:t>l der Unternehmenskommunikation.</w:t>
      </w:r>
    </w:p>
    <w:p w:rsidR="007275D9" w:rsidRDefault="007275D9" w:rsidP="00B423C4">
      <w:pPr>
        <w:pStyle w:val="StandardWeb"/>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Ursprünglich stammt die Idee von </w:t>
      </w:r>
      <w:r w:rsidR="00826DB0">
        <w:rPr>
          <w:rFonts w:ascii="Arial" w:hAnsi="Arial" w:cs="Arial"/>
          <w:sz w:val="22"/>
          <w:szCs w:val="22"/>
        </w:rPr>
        <w:t xml:space="preserve">dem Konzern </w:t>
      </w:r>
      <w:r>
        <w:rPr>
          <w:rFonts w:ascii="Arial" w:hAnsi="Arial" w:cs="Arial"/>
          <w:sz w:val="22"/>
          <w:szCs w:val="22"/>
        </w:rPr>
        <w:t xml:space="preserve">General </w:t>
      </w:r>
      <w:proofErr w:type="spellStart"/>
      <w:r>
        <w:rPr>
          <w:rFonts w:ascii="Arial" w:hAnsi="Arial" w:cs="Arial"/>
          <w:sz w:val="22"/>
          <w:szCs w:val="22"/>
        </w:rPr>
        <w:t>Electrics</w:t>
      </w:r>
      <w:proofErr w:type="spellEnd"/>
      <w:r w:rsidR="00826DB0">
        <w:rPr>
          <w:rFonts w:ascii="Arial" w:hAnsi="Arial" w:cs="Arial"/>
          <w:sz w:val="22"/>
          <w:szCs w:val="22"/>
        </w:rPr>
        <w:t xml:space="preserve">, der ein </w:t>
      </w:r>
      <w:proofErr w:type="spellStart"/>
      <w:r w:rsidR="00826DB0">
        <w:rPr>
          <w:rFonts w:ascii="Arial" w:hAnsi="Arial" w:cs="Arial"/>
          <w:sz w:val="22"/>
          <w:szCs w:val="22"/>
        </w:rPr>
        <w:t>Kommunikations</w:t>
      </w:r>
      <w:r w:rsidR="00826DB0">
        <w:rPr>
          <w:rFonts w:ascii="Arial" w:hAnsi="Arial" w:cs="Arial"/>
          <w:sz w:val="22"/>
          <w:szCs w:val="22"/>
        </w:rPr>
        <w:softHyphen/>
        <w:t>programm</w:t>
      </w:r>
      <w:proofErr w:type="spellEnd"/>
      <w:r w:rsidR="00826DB0">
        <w:rPr>
          <w:rFonts w:ascii="Arial" w:hAnsi="Arial" w:cs="Arial"/>
          <w:sz w:val="22"/>
          <w:szCs w:val="22"/>
        </w:rPr>
        <w:t xml:space="preserve"> für Kapitalgeber in den 50-er Jahren so benannte.</w:t>
      </w:r>
    </w:p>
    <w:p w:rsidR="00EF0744" w:rsidRDefault="00EF0744" w:rsidP="00B423C4">
      <w:pPr>
        <w:pStyle w:val="StandardWeb"/>
        <w:spacing w:before="0" w:beforeAutospacing="0" w:after="120" w:afterAutospacing="0" w:line="276" w:lineRule="auto"/>
        <w:jc w:val="both"/>
        <w:rPr>
          <w:rFonts w:ascii="Arial" w:hAnsi="Arial" w:cs="Arial"/>
          <w:sz w:val="22"/>
          <w:szCs w:val="22"/>
        </w:rPr>
      </w:pPr>
    </w:p>
    <w:p w:rsidR="005824D7" w:rsidRPr="00704088" w:rsidRDefault="005824D7" w:rsidP="00B423C4">
      <w:pPr>
        <w:pStyle w:val="StandardWeb"/>
        <w:spacing w:before="0" w:beforeAutospacing="0" w:after="120" w:afterAutospacing="0" w:line="276" w:lineRule="auto"/>
        <w:jc w:val="both"/>
        <w:rPr>
          <w:rFonts w:ascii="Arial" w:hAnsi="Arial" w:cs="Arial"/>
          <w:b/>
          <w:sz w:val="22"/>
          <w:szCs w:val="22"/>
        </w:rPr>
      </w:pPr>
      <w:r>
        <w:rPr>
          <w:rFonts w:ascii="Arial" w:hAnsi="Arial" w:cs="Arial"/>
          <w:b/>
          <w:sz w:val="22"/>
          <w:szCs w:val="22"/>
        </w:rPr>
        <w:t>Ziele</w:t>
      </w:r>
    </w:p>
    <w:p w:rsidR="005824D7" w:rsidRDefault="005824D7" w:rsidP="00B423C4">
      <w:pPr>
        <w:pStyle w:val="StandardWeb"/>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Die Ziele der IR lassen sich unter dem </w:t>
      </w:r>
      <w:r w:rsidR="00826DB0">
        <w:rPr>
          <w:rFonts w:ascii="Arial" w:hAnsi="Arial" w:cs="Arial"/>
          <w:sz w:val="22"/>
          <w:szCs w:val="22"/>
        </w:rPr>
        <w:t>Haupt</w:t>
      </w:r>
      <w:r>
        <w:rPr>
          <w:rFonts w:ascii="Arial" w:hAnsi="Arial" w:cs="Arial"/>
          <w:sz w:val="22"/>
          <w:szCs w:val="22"/>
        </w:rPr>
        <w:t>ziel „Steigerung des Shareholder Value“ in finanzorientierte und kommunikationsorientierte Ziele einordnen:</w:t>
      </w:r>
    </w:p>
    <w:tbl>
      <w:tblPr>
        <w:tblStyle w:val="Tabellenraster"/>
        <w:tblpPr w:leftFromText="141" w:rightFromText="141" w:vertAnchor="text" w:horzAnchor="margin" w:tblpX="108" w:tblpY="144"/>
        <w:tblW w:w="9773" w:type="dxa"/>
        <w:tblLook w:val="04A0" w:firstRow="1" w:lastRow="0" w:firstColumn="1" w:lastColumn="0" w:noHBand="0" w:noVBand="1"/>
      </w:tblPr>
      <w:tblGrid>
        <w:gridCol w:w="1268"/>
        <w:gridCol w:w="4252"/>
        <w:gridCol w:w="4253"/>
      </w:tblGrid>
      <w:tr w:rsidR="005824D7" w:rsidTr="00514E3B">
        <w:tc>
          <w:tcPr>
            <w:tcW w:w="1268" w:type="dxa"/>
            <w:tcBorders>
              <w:top w:val="nil"/>
              <w:left w:val="nil"/>
            </w:tcBorders>
            <w:vAlign w:val="center"/>
          </w:tcPr>
          <w:p w:rsidR="005824D7" w:rsidRDefault="005824D7" w:rsidP="00B423C4">
            <w:pPr>
              <w:pStyle w:val="StandardWeb"/>
              <w:tabs>
                <w:tab w:val="left" w:pos="602"/>
              </w:tabs>
              <w:spacing w:before="0" w:beforeAutospacing="0" w:after="120" w:afterAutospacing="0" w:line="276" w:lineRule="auto"/>
              <w:jc w:val="center"/>
              <w:rPr>
                <w:rFonts w:ascii="Arial" w:hAnsi="Arial" w:cs="Arial"/>
                <w:sz w:val="22"/>
                <w:szCs w:val="22"/>
              </w:rPr>
            </w:pPr>
          </w:p>
        </w:tc>
        <w:tc>
          <w:tcPr>
            <w:tcW w:w="4252" w:type="dxa"/>
          </w:tcPr>
          <w:p w:rsidR="005824D7" w:rsidRPr="007275D9" w:rsidRDefault="005824D7" w:rsidP="00B423C4">
            <w:pPr>
              <w:pStyle w:val="StandardWeb"/>
              <w:spacing w:before="0" w:beforeAutospacing="0" w:after="120" w:afterAutospacing="0" w:line="276" w:lineRule="auto"/>
              <w:jc w:val="center"/>
              <w:rPr>
                <w:rFonts w:ascii="Arial" w:hAnsi="Arial" w:cs="Arial"/>
                <w:b/>
                <w:sz w:val="22"/>
                <w:szCs w:val="22"/>
              </w:rPr>
            </w:pPr>
            <w:r w:rsidRPr="007275D9">
              <w:rPr>
                <w:rFonts w:ascii="Arial" w:hAnsi="Arial" w:cs="Arial"/>
                <w:b/>
                <w:sz w:val="22"/>
                <w:szCs w:val="22"/>
              </w:rPr>
              <w:t>Finanzorientiert</w:t>
            </w:r>
          </w:p>
        </w:tc>
        <w:tc>
          <w:tcPr>
            <w:tcW w:w="4253" w:type="dxa"/>
          </w:tcPr>
          <w:p w:rsidR="005824D7" w:rsidRPr="007275D9" w:rsidRDefault="005824D7" w:rsidP="00B423C4">
            <w:pPr>
              <w:pStyle w:val="StandardWeb"/>
              <w:spacing w:before="0" w:beforeAutospacing="0" w:after="120" w:afterAutospacing="0" w:line="276" w:lineRule="auto"/>
              <w:jc w:val="center"/>
              <w:rPr>
                <w:rFonts w:ascii="Arial" w:hAnsi="Arial" w:cs="Arial"/>
                <w:b/>
                <w:sz w:val="22"/>
                <w:szCs w:val="22"/>
              </w:rPr>
            </w:pPr>
            <w:r w:rsidRPr="007275D9">
              <w:rPr>
                <w:rFonts w:ascii="Arial" w:hAnsi="Arial" w:cs="Arial"/>
                <w:b/>
                <w:sz w:val="22"/>
                <w:szCs w:val="22"/>
              </w:rPr>
              <w:t>Kommunikationsorientiert</w:t>
            </w:r>
          </w:p>
        </w:tc>
      </w:tr>
      <w:tr w:rsidR="005824D7" w:rsidTr="00514E3B">
        <w:tc>
          <w:tcPr>
            <w:tcW w:w="1268" w:type="dxa"/>
            <w:vAlign w:val="center"/>
          </w:tcPr>
          <w:p w:rsidR="005824D7" w:rsidRPr="007275D9" w:rsidRDefault="00826DB0" w:rsidP="00B423C4">
            <w:pPr>
              <w:pStyle w:val="StandardWeb"/>
              <w:spacing w:before="0" w:beforeAutospacing="0" w:after="120" w:afterAutospacing="0" w:line="276" w:lineRule="auto"/>
              <w:jc w:val="center"/>
              <w:rPr>
                <w:rFonts w:ascii="Arial" w:hAnsi="Arial" w:cs="Arial"/>
                <w:b/>
                <w:sz w:val="22"/>
                <w:szCs w:val="22"/>
              </w:rPr>
            </w:pPr>
            <w:proofErr w:type="spellStart"/>
            <w:r>
              <w:rPr>
                <w:rFonts w:ascii="Arial" w:hAnsi="Arial" w:cs="Arial"/>
                <w:b/>
                <w:sz w:val="22"/>
                <w:szCs w:val="22"/>
              </w:rPr>
              <w:t>Ober</w:t>
            </w:r>
            <w:r w:rsidR="005824D7" w:rsidRPr="007275D9">
              <w:rPr>
                <w:rFonts w:ascii="Arial" w:hAnsi="Arial" w:cs="Arial"/>
                <w:b/>
                <w:sz w:val="22"/>
                <w:szCs w:val="22"/>
              </w:rPr>
              <w:t>ziel</w:t>
            </w:r>
            <w:proofErr w:type="spellEnd"/>
          </w:p>
        </w:tc>
        <w:tc>
          <w:tcPr>
            <w:tcW w:w="4252" w:type="dxa"/>
          </w:tcPr>
          <w:p w:rsidR="005824D7" w:rsidRDefault="005824D7" w:rsidP="00B423C4">
            <w:pPr>
              <w:pStyle w:val="StandardWeb"/>
              <w:spacing w:before="0" w:beforeAutospacing="0" w:after="120" w:afterAutospacing="0" w:line="276" w:lineRule="auto"/>
              <w:jc w:val="center"/>
              <w:rPr>
                <w:rFonts w:ascii="Arial" w:hAnsi="Arial" w:cs="Arial"/>
                <w:sz w:val="22"/>
                <w:szCs w:val="22"/>
              </w:rPr>
            </w:pPr>
            <w:r>
              <w:rPr>
                <w:rFonts w:ascii="Arial" w:hAnsi="Arial" w:cs="Arial"/>
                <w:sz w:val="22"/>
                <w:szCs w:val="22"/>
              </w:rPr>
              <w:t>Kapitalbeschaffung</w:t>
            </w:r>
          </w:p>
        </w:tc>
        <w:tc>
          <w:tcPr>
            <w:tcW w:w="4253" w:type="dxa"/>
          </w:tcPr>
          <w:p w:rsidR="005824D7" w:rsidRDefault="005824D7" w:rsidP="00B423C4">
            <w:pPr>
              <w:pStyle w:val="StandardWeb"/>
              <w:spacing w:before="0" w:beforeAutospacing="0" w:after="120" w:afterAutospacing="0" w:line="276" w:lineRule="auto"/>
              <w:jc w:val="center"/>
              <w:rPr>
                <w:rFonts w:ascii="Arial" w:hAnsi="Arial" w:cs="Arial"/>
                <w:sz w:val="22"/>
                <w:szCs w:val="22"/>
              </w:rPr>
            </w:pPr>
            <w:r>
              <w:rPr>
                <w:rFonts w:ascii="Arial" w:hAnsi="Arial" w:cs="Arial"/>
                <w:sz w:val="22"/>
                <w:szCs w:val="22"/>
              </w:rPr>
              <w:t>Vertrauensbildung und -stärkung</w:t>
            </w:r>
          </w:p>
        </w:tc>
      </w:tr>
      <w:tr w:rsidR="005824D7" w:rsidTr="00514E3B">
        <w:tc>
          <w:tcPr>
            <w:tcW w:w="1268" w:type="dxa"/>
            <w:vAlign w:val="center"/>
          </w:tcPr>
          <w:p w:rsidR="005824D7" w:rsidRPr="007275D9" w:rsidRDefault="005824D7" w:rsidP="00B423C4">
            <w:pPr>
              <w:pStyle w:val="StandardWeb"/>
              <w:spacing w:before="0" w:beforeAutospacing="0" w:after="120" w:afterAutospacing="0" w:line="276" w:lineRule="auto"/>
              <w:jc w:val="center"/>
              <w:rPr>
                <w:rFonts w:ascii="Arial" w:hAnsi="Arial" w:cs="Arial"/>
                <w:b/>
                <w:sz w:val="22"/>
                <w:szCs w:val="22"/>
              </w:rPr>
            </w:pPr>
            <w:r w:rsidRPr="007275D9">
              <w:rPr>
                <w:rFonts w:ascii="Arial" w:hAnsi="Arial" w:cs="Arial"/>
                <w:b/>
                <w:sz w:val="22"/>
                <w:szCs w:val="22"/>
              </w:rPr>
              <w:t>Unterziele</w:t>
            </w:r>
          </w:p>
        </w:tc>
        <w:tc>
          <w:tcPr>
            <w:tcW w:w="4252" w:type="dxa"/>
          </w:tcPr>
          <w:p w:rsidR="005824D7" w:rsidRDefault="005824D7" w:rsidP="00B423C4">
            <w:pPr>
              <w:pStyle w:val="StandardWeb"/>
              <w:numPr>
                <w:ilvl w:val="0"/>
                <w:numId w:val="7"/>
              </w:numPr>
              <w:spacing w:before="0" w:beforeAutospacing="0" w:after="120" w:afterAutospacing="0" w:line="276" w:lineRule="auto"/>
              <w:ind w:left="292" w:hanging="284"/>
              <w:rPr>
                <w:rFonts w:ascii="Arial" w:hAnsi="Arial" w:cs="Arial"/>
                <w:sz w:val="22"/>
                <w:szCs w:val="22"/>
              </w:rPr>
            </w:pPr>
            <w:r>
              <w:rPr>
                <w:rFonts w:ascii="Arial" w:hAnsi="Arial" w:cs="Arial"/>
                <w:sz w:val="22"/>
                <w:szCs w:val="22"/>
              </w:rPr>
              <w:t>Senkung der Kapitalkosten</w:t>
            </w:r>
          </w:p>
          <w:p w:rsidR="005824D7" w:rsidRDefault="005824D7" w:rsidP="00B423C4">
            <w:pPr>
              <w:pStyle w:val="StandardWeb"/>
              <w:numPr>
                <w:ilvl w:val="0"/>
                <w:numId w:val="7"/>
              </w:numPr>
              <w:spacing w:before="0" w:beforeAutospacing="0" w:after="120" w:afterAutospacing="0" w:line="276" w:lineRule="auto"/>
              <w:ind w:left="292" w:hanging="284"/>
              <w:rPr>
                <w:rFonts w:ascii="Arial" w:hAnsi="Arial" w:cs="Arial"/>
                <w:sz w:val="22"/>
                <w:szCs w:val="22"/>
              </w:rPr>
            </w:pPr>
            <w:r>
              <w:rPr>
                <w:rFonts w:ascii="Arial" w:hAnsi="Arial" w:cs="Arial"/>
                <w:sz w:val="22"/>
                <w:szCs w:val="22"/>
              </w:rPr>
              <w:t>Schutz vor feindlichen Übernahmen</w:t>
            </w:r>
          </w:p>
          <w:p w:rsidR="005824D7" w:rsidRDefault="005824D7" w:rsidP="00B423C4">
            <w:pPr>
              <w:pStyle w:val="StandardWeb"/>
              <w:numPr>
                <w:ilvl w:val="0"/>
                <w:numId w:val="7"/>
              </w:numPr>
              <w:spacing w:before="0" w:beforeAutospacing="0" w:after="120" w:afterAutospacing="0" w:line="276" w:lineRule="auto"/>
              <w:ind w:left="292" w:hanging="284"/>
              <w:rPr>
                <w:rFonts w:ascii="Arial" w:hAnsi="Arial" w:cs="Arial"/>
                <w:sz w:val="22"/>
                <w:szCs w:val="22"/>
              </w:rPr>
            </w:pPr>
            <w:r>
              <w:rPr>
                <w:rFonts w:ascii="Arial" w:hAnsi="Arial" w:cs="Arial"/>
                <w:sz w:val="22"/>
                <w:szCs w:val="22"/>
              </w:rPr>
              <w:t>Erfüllung gesetzlicher Informationspflichten</w:t>
            </w:r>
          </w:p>
          <w:p w:rsidR="005824D7" w:rsidRPr="007275D9" w:rsidRDefault="005824D7" w:rsidP="00B423C4">
            <w:pPr>
              <w:pStyle w:val="StandardWeb"/>
              <w:numPr>
                <w:ilvl w:val="0"/>
                <w:numId w:val="7"/>
              </w:numPr>
              <w:spacing w:before="0" w:beforeAutospacing="0" w:after="120" w:afterAutospacing="0" w:line="276" w:lineRule="auto"/>
              <w:ind w:left="292" w:hanging="284"/>
              <w:rPr>
                <w:rFonts w:ascii="Arial" w:hAnsi="Arial" w:cs="Arial"/>
                <w:sz w:val="22"/>
                <w:szCs w:val="22"/>
              </w:rPr>
            </w:pPr>
            <w:r>
              <w:rPr>
                <w:rFonts w:ascii="Arial" w:hAnsi="Arial" w:cs="Arial"/>
                <w:sz w:val="22"/>
                <w:szCs w:val="22"/>
              </w:rPr>
              <w:t>Kurspflege</w:t>
            </w:r>
          </w:p>
        </w:tc>
        <w:tc>
          <w:tcPr>
            <w:tcW w:w="4253" w:type="dxa"/>
          </w:tcPr>
          <w:p w:rsidR="005824D7" w:rsidRDefault="005824D7" w:rsidP="00B423C4">
            <w:pPr>
              <w:pStyle w:val="StandardWeb"/>
              <w:numPr>
                <w:ilvl w:val="0"/>
                <w:numId w:val="7"/>
              </w:numPr>
              <w:spacing w:before="0" w:beforeAutospacing="0" w:after="120" w:afterAutospacing="0" w:line="276" w:lineRule="auto"/>
              <w:ind w:left="292" w:hanging="284"/>
              <w:rPr>
                <w:rFonts w:ascii="Arial" w:hAnsi="Arial" w:cs="Arial"/>
                <w:sz w:val="22"/>
                <w:szCs w:val="22"/>
              </w:rPr>
            </w:pPr>
            <w:r>
              <w:rPr>
                <w:rFonts w:ascii="Arial" w:hAnsi="Arial" w:cs="Arial"/>
                <w:sz w:val="22"/>
                <w:szCs w:val="22"/>
              </w:rPr>
              <w:t>Erhöhung des Bekanntheitsgrades</w:t>
            </w:r>
          </w:p>
          <w:p w:rsidR="005824D7" w:rsidRDefault="005824D7" w:rsidP="00B423C4">
            <w:pPr>
              <w:pStyle w:val="StandardWeb"/>
              <w:numPr>
                <w:ilvl w:val="0"/>
                <w:numId w:val="7"/>
              </w:numPr>
              <w:spacing w:before="0" w:beforeAutospacing="0" w:after="120" w:afterAutospacing="0" w:line="276" w:lineRule="auto"/>
              <w:ind w:left="292" w:hanging="284"/>
              <w:rPr>
                <w:rFonts w:ascii="Arial" w:hAnsi="Arial" w:cs="Arial"/>
                <w:sz w:val="22"/>
                <w:szCs w:val="22"/>
              </w:rPr>
            </w:pPr>
            <w:r>
              <w:rPr>
                <w:rFonts w:ascii="Arial" w:hAnsi="Arial" w:cs="Arial"/>
                <w:sz w:val="22"/>
                <w:szCs w:val="22"/>
              </w:rPr>
              <w:t>Verbesserung des Unternehmensimage</w:t>
            </w:r>
          </w:p>
          <w:p w:rsidR="005824D7" w:rsidRDefault="007275D9" w:rsidP="00B423C4">
            <w:pPr>
              <w:pStyle w:val="StandardWeb"/>
              <w:numPr>
                <w:ilvl w:val="0"/>
                <w:numId w:val="7"/>
              </w:numPr>
              <w:spacing w:before="0" w:beforeAutospacing="0" w:after="120" w:afterAutospacing="0" w:line="276" w:lineRule="auto"/>
              <w:ind w:left="292" w:hanging="284"/>
              <w:rPr>
                <w:rFonts w:ascii="Arial" w:hAnsi="Arial" w:cs="Arial"/>
                <w:sz w:val="22"/>
                <w:szCs w:val="22"/>
              </w:rPr>
            </w:pPr>
            <w:r>
              <w:rPr>
                <w:rFonts w:ascii="Arial" w:hAnsi="Arial" w:cs="Arial"/>
                <w:sz w:val="22"/>
                <w:szCs w:val="22"/>
              </w:rPr>
              <w:t>Vorbeugen von Gerüchten</w:t>
            </w:r>
          </w:p>
        </w:tc>
      </w:tr>
    </w:tbl>
    <w:p w:rsidR="00514E3B" w:rsidRDefault="00514E3B" w:rsidP="00B423C4">
      <w:pPr>
        <w:pStyle w:val="StandardWeb"/>
        <w:spacing w:before="0" w:beforeAutospacing="0" w:after="120" w:afterAutospacing="0" w:line="276" w:lineRule="auto"/>
        <w:jc w:val="both"/>
        <w:rPr>
          <w:rFonts w:ascii="Arial" w:hAnsi="Arial" w:cs="Arial"/>
          <w:sz w:val="22"/>
          <w:szCs w:val="22"/>
        </w:rPr>
      </w:pPr>
    </w:p>
    <w:p w:rsidR="00EF0744" w:rsidRDefault="00E64A69" w:rsidP="00B423C4">
      <w:pPr>
        <w:pStyle w:val="StandardWeb"/>
        <w:spacing w:before="0" w:beforeAutospacing="0" w:after="120" w:afterAutospacing="0" w:line="276" w:lineRule="auto"/>
        <w:jc w:val="both"/>
        <w:rPr>
          <w:rFonts w:ascii="Arial" w:hAnsi="Arial" w:cs="Arial"/>
          <w:b/>
          <w:sz w:val="22"/>
          <w:szCs w:val="22"/>
        </w:rPr>
      </w:pPr>
      <w:r>
        <w:rPr>
          <w:rFonts w:ascii="Arial" w:hAnsi="Arial" w:cs="Arial"/>
          <w:b/>
          <w:sz w:val="22"/>
          <w:szCs w:val="22"/>
        </w:rPr>
        <w:br w:type="column"/>
      </w:r>
      <w:r w:rsidR="007275D9">
        <w:rPr>
          <w:rFonts w:ascii="Arial" w:hAnsi="Arial" w:cs="Arial"/>
          <w:b/>
          <w:sz w:val="22"/>
          <w:szCs w:val="22"/>
        </w:rPr>
        <w:lastRenderedPageBreak/>
        <w:t>Zielgruppen</w:t>
      </w:r>
    </w:p>
    <w:p w:rsidR="007275D9" w:rsidRDefault="007275D9" w:rsidP="00B423C4">
      <w:pPr>
        <w:pStyle w:val="StandardWeb"/>
        <w:spacing w:before="0" w:beforeAutospacing="0" w:after="120" w:afterAutospacing="0" w:line="276" w:lineRule="auto"/>
        <w:jc w:val="both"/>
        <w:rPr>
          <w:rFonts w:ascii="Arial" w:hAnsi="Arial" w:cs="Arial"/>
          <w:sz w:val="22"/>
          <w:szCs w:val="22"/>
        </w:rPr>
      </w:pPr>
      <w:r w:rsidRPr="007275D9">
        <w:rPr>
          <w:rFonts w:ascii="Arial" w:hAnsi="Arial" w:cs="Arial"/>
          <w:sz w:val="22"/>
          <w:szCs w:val="22"/>
        </w:rPr>
        <w:t xml:space="preserve">Die </w:t>
      </w:r>
      <w:r>
        <w:rPr>
          <w:rFonts w:ascii="Arial" w:hAnsi="Arial" w:cs="Arial"/>
          <w:sz w:val="22"/>
          <w:szCs w:val="22"/>
        </w:rPr>
        <w:t>Z</w:t>
      </w:r>
      <w:r w:rsidRPr="007275D9">
        <w:rPr>
          <w:rFonts w:ascii="Arial" w:hAnsi="Arial" w:cs="Arial"/>
          <w:sz w:val="22"/>
          <w:szCs w:val="22"/>
        </w:rPr>
        <w:t>ielgruppe der IR sind potentielle sowie</w:t>
      </w:r>
      <w:r>
        <w:rPr>
          <w:rFonts w:ascii="Arial" w:hAnsi="Arial" w:cs="Arial"/>
          <w:sz w:val="22"/>
          <w:szCs w:val="22"/>
        </w:rPr>
        <w:t xml:space="preserve"> bereits gewonnene Investo</w:t>
      </w:r>
      <w:r w:rsidR="00A25A17">
        <w:rPr>
          <w:rFonts w:ascii="Arial" w:hAnsi="Arial" w:cs="Arial"/>
          <w:sz w:val="22"/>
          <w:szCs w:val="22"/>
        </w:rPr>
        <w:t>ren (privat und institutionell)</w:t>
      </w:r>
      <w:r>
        <w:rPr>
          <w:rFonts w:ascii="Arial" w:hAnsi="Arial" w:cs="Arial"/>
          <w:sz w:val="22"/>
          <w:szCs w:val="22"/>
        </w:rPr>
        <w:t xml:space="preserve"> sowie Wirtschaftsjournalisten, Anlageberater und Ratingagenturen.</w:t>
      </w:r>
    </w:p>
    <w:p w:rsidR="007275D9" w:rsidRDefault="007275D9" w:rsidP="00B423C4">
      <w:pPr>
        <w:pStyle w:val="StandardWeb"/>
        <w:spacing w:before="0" w:beforeAutospacing="0" w:after="120" w:afterAutospacing="0" w:line="276" w:lineRule="auto"/>
        <w:jc w:val="both"/>
        <w:rPr>
          <w:rFonts w:ascii="Arial" w:hAnsi="Arial" w:cs="Arial"/>
          <w:sz w:val="22"/>
          <w:szCs w:val="22"/>
        </w:rPr>
      </w:pPr>
    </w:p>
    <w:p w:rsidR="007275D9" w:rsidRPr="00826DB0" w:rsidRDefault="007275D9" w:rsidP="00B423C4">
      <w:pPr>
        <w:pStyle w:val="StandardWeb"/>
        <w:spacing w:before="0" w:beforeAutospacing="0" w:after="120" w:afterAutospacing="0" w:line="276" w:lineRule="auto"/>
        <w:jc w:val="both"/>
        <w:rPr>
          <w:rFonts w:ascii="Arial" w:hAnsi="Arial" w:cs="Arial"/>
          <w:b/>
          <w:sz w:val="22"/>
          <w:szCs w:val="22"/>
        </w:rPr>
      </w:pPr>
      <w:r w:rsidRPr="00826DB0">
        <w:rPr>
          <w:rFonts w:ascii="Arial" w:hAnsi="Arial" w:cs="Arial"/>
          <w:b/>
          <w:sz w:val="22"/>
          <w:szCs w:val="22"/>
        </w:rPr>
        <w:t>Methoden</w:t>
      </w:r>
    </w:p>
    <w:p w:rsidR="00826DB0" w:rsidRDefault="007275D9" w:rsidP="00B423C4">
      <w:pPr>
        <w:pStyle w:val="StandardWeb"/>
        <w:spacing w:before="0" w:beforeAutospacing="0" w:after="120" w:afterAutospacing="0" w:line="276" w:lineRule="auto"/>
        <w:jc w:val="both"/>
        <w:rPr>
          <w:rFonts w:ascii="Arial" w:hAnsi="Arial" w:cs="Arial"/>
          <w:sz w:val="22"/>
          <w:szCs w:val="22"/>
        </w:rPr>
      </w:pPr>
      <w:r>
        <w:rPr>
          <w:rFonts w:ascii="Arial" w:hAnsi="Arial" w:cs="Arial"/>
          <w:sz w:val="22"/>
          <w:szCs w:val="22"/>
        </w:rPr>
        <w:t>Instrumente der IR sind Pflichtinstrumente</w:t>
      </w:r>
      <w:r w:rsidR="00514E3B">
        <w:rPr>
          <w:rFonts w:ascii="Arial" w:hAnsi="Arial" w:cs="Arial"/>
          <w:sz w:val="22"/>
          <w:szCs w:val="22"/>
        </w:rPr>
        <w:t xml:space="preserve"> (z. T. gesetzlich vorgegeben),</w:t>
      </w:r>
      <w:r>
        <w:rPr>
          <w:rFonts w:ascii="Arial" w:hAnsi="Arial" w:cs="Arial"/>
          <w:sz w:val="22"/>
          <w:szCs w:val="22"/>
        </w:rPr>
        <w:t xml:space="preserve"> wie z.</w:t>
      </w:r>
      <w:r w:rsidR="00826DB0">
        <w:rPr>
          <w:rFonts w:ascii="Arial" w:hAnsi="Arial" w:cs="Arial"/>
          <w:sz w:val="22"/>
          <w:szCs w:val="22"/>
        </w:rPr>
        <w:t> </w:t>
      </w:r>
      <w:r>
        <w:rPr>
          <w:rFonts w:ascii="Arial" w:hAnsi="Arial" w:cs="Arial"/>
          <w:sz w:val="22"/>
          <w:szCs w:val="22"/>
        </w:rPr>
        <w:t xml:space="preserve">B. Börsenprospekte, Hauptversammlung, Geschäftsbericht, Quartalsbericht und freiwillige Instrumente wie </w:t>
      </w:r>
      <w:r w:rsidR="00826DB0">
        <w:rPr>
          <w:rFonts w:ascii="Arial" w:hAnsi="Arial" w:cs="Arial"/>
          <w:sz w:val="22"/>
          <w:szCs w:val="22"/>
        </w:rPr>
        <w:t xml:space="preserve">z. B. </w:t>
      </w:r>
      <w:r>
        <w:rPr>
          <w:rFonts w:ascii="Arial" w:hAnsi="Arial" w:cs="Arial"/>
          <w:sz w:val="22"/>
          <w:szCs w:val="22"/>
        </w:rPr>
        <w:t>IR-Internetauftritt, Newsletter, Pressemitteilungen, Roa</w:t>
      </w:r>
      <w:r w:rsidR="00826DB0">
        <w:rPr>
          <w:rFonts w:ascii="Arial" w:hAnsi="Arial" w:cs="Arial"/>
          <w:sz w:val="22"/>
          <w:szCs w:val="22"/>
        </w:rPr>
        <w:t>dshows, Betriebsbesichtigungen.</w:t>
      </w:r>
    </w:p>
    <w:p w:rsidR="00826DB0" w:rsidRDefault="00826DB0" w:rsidP="00B423C4">
      <w:pPr>
        <w:pStyle w:val="StandardWeb"/>
        <w:spacing w:before="0" w:beforeAutospacing="0" w:after="120" w:afterAutospacing="0" w:line="276" w:lineRule="auto"/>
        <w:jc w:val="both"/>
        <w:rPr>
          <w:rFonts w:ascii="Arial" w:hAnsi="Arial" w:cs="Arial"/>
          <w:sz w:val="22"/>
          <w:szCs w:val="22"/>
        </w:rPr>
      </w:pPr>
    </w:p>
    <w:p w:rsidR="00826DB0" w:rsidRPr="00826DB0" w:rsidRDefault="00826DB0" w:rsidP="00B423C4">
      <w:pPr>
        <w:pStyle w:val="StandardWeb"/>
        <w:spacing w:before="0" w:beforeAutospacing="0" w:after="120" w:afterAutospacing="0" w:line="276" w:lineRule="auto"/>
        <w:jc w:val="both"/>
        <w:rPr>
          <w:rFonts w:ascii="Arial" w:hAnsi="Arial" w:cs="Arial"/>
          <w:b/>
          <w:sz w:val="22"/>
          <w:szCs w:val="22"/>
        </w:rPr>
      </w:pPr>
      <w:r w:rsidRPr="00826DB0">
        <w:rPr>
          <w:rFonts w:ascii="Arial" w:hAnsi="Arial" w:cs="Arial"/>
          <w:b/>
          <w:sz w:val="22"/>
          <w:szCs w:val="22"/>
        </w:rPr>
        <w:t>Herausforderung</w:t>
      </w:r>
    </w:p>
    <w:p w:rsidR="00D037BB" w:rsidRDefault="007275D9" w:rsidP="00B423C4">
      <w:pPr>
        <w:pStyle w:val="StandardWeb"/>
        <w:spacing w:before="0" w:beforeAutospacing="0" w:after="120" w:afterAutospacing="0" w:line="276" w:lineRule="auto"/>
        <w:jc w:val="both"/>
        <w:rPr>
          <w:rFonts w:ascii="Arial" w:hAnsi="Arial" w:cs="Arial"/>
          <w:sz w:val="22"/>
          <w:szCs w:val="22"/>
        </w:rPr>
      </w:pPr>
      <w:r>
        <w:rPr>
          <w:rFonts w:ascii="Arial" w:hAnsi="Arial" w:cs="Arial"/>
          <w:sz w:val="22"/>
          <w:szCs w:val="22"/>
        </w:rPr>
        <w:t>Das Problem der IR-Abteilung besteht darin, die heterogene Zielgruppe so zu informieren, dass für jeden Einzelnen das Höchstmaß an verständlicher Information vorhanden ist.</w:t>
      </w:r>
      <w:r w:rsidR="00826DB0">
        <w:rPr>
          <w:rFonts w:ascii="Arial" w:hAnsi="Arial" w:cs="Arial"/>
          <w:sz w:val="22"/>
          <w:szCs w:val="22"/>
        </w:rPr>
        <w:t xml:space="preserve"> </w:t>
      </w:r>
    </w:p>
    <w:p w:rsidR="007275D9" w:rsidRPr="007275D9" w:rsidRDefault="00826DB0" w:rsidP="00B423C4">
      <w:pPr>
        <w:pStyle w:val="StandardWeb"/>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Die meisten Unternehmen haben </w:t>
      </w:r>
      <w:r w:rsidR="00D037BB">
        <w:rPr>
          <w:rFonts w:ascii="Arial" w:hAnsi="Arial" w:cs="Arial"/>
          <w:sz w:val="22"/>
          <w:szCs w:val="22"/>
        </w:rPr>
        <w:t xml:space="preserve">zwar </w:t>
      </w:r>
      <w:r>
        <w:rPr>
          <w:rFonts w:ascii="Arial" w:hAnsi="Arial" w:cs="Arial"/>
          <w:sz w:val="22"/>
          <w:szCs w:val="22"/>
        </w:rPr>
        <w:t xml:space="preserve">mittlerweile </w:t>
      </w:r>
      <w:r w:rsidR="00D037BB">
        <w:rPr>
          <w:rFonts w:ascii="Arial" w:hAnsi="Arial" w:cs="Arial"/>
          <w:sz w:val="22"/>
          <w:szCs w:val="22"/>
        </w:rPr>
        <w:t xml:space="preserve">einen IR-Beauftragten (wenn nicht sogar eine IR-Abteilung) sowie </w:t>
      </w:r>
      <w:r>
        <w:rPr>
          <w:rFonts w:ascii="Arial" w:hAnsi="Arial" w:cs="Arial"/>
          <w:sz w:val="22"/>
          <w:szCs w:val="22"/>
        </w:rPr>
        <w:t>einen IR-Bereich auf ihrer Homepage, in dem sich u. a. Publikationen, Presseartikel, Geschäftsberichte, Präsentationen und Werbefilme des Unternehmens finden.</w:t>
      </w:r>
      <w:r w:rsidR="00D037BB">
        <w:rPr>
          <w:rFonts w:ascii="Arial" w:hAnsi="Arial" w:cs="Arial"/>
          <w:sz w:val="22"/>
          <w:szCs w:val="22"/>
        </w:rPr>
        <w:t xml:space="preserve"> Trotzdem fällt es schwer, institutionellen wie privaten Anlegern Informationen so aufbereitet zu liefern, dass diese </w:t>
      </w:r>
      <w:r w:rsidR="002D2DF1">
        <w:rPr>
          <w:rFonts w:ascii="Arial" w:hAnsi="Arial" w:cs="Arial"/>
          <w:sz w:val="22"/>
          <w:szCs w:val="22"/>
        </w:rPr>
        <w:t>gemäß ihren</w:t>
      </w:r>
      <w:r w:rsidR="00A25A17">
        <w:rPr>
          <w:rFonts w:ascii="Arial" w:hAnsi="Arial" w:cs="Arial"/>
          <w:sz w:val="22"/>
          <w:szCs w:val="22"/>
        </w:rPr>
        <w:t xml:space="preserve"> Interessen informiert</w:t>
      </w:r>
      <w:r w:rsidR="00D037BB">
        <w:rPr>
          <w:rFonts w:ascii="Arial" w:hAnsi="Arial" w:cs="Arial"/>
          <w:sz w:val="22"/>
          <w:szCs w:val="22"/>
        </w:rPr>
        <w:t xml:space="preserve"> sind.</w:t>
      </w:r>
    </w:p>
    <w:p w:rsidR="006E59B9" w:rsidRDefault="006E59B9" w:rsidP="00B423C4">
      <w:pPr>
        <w:spacing w:after="120" w:line="276" w:lineRule="auto"/>
        <w:rPr>
          <w:rFonts w:cs="Arial"/>
        </w:rPr>
      </w:pPr>
    </w:p>
    <w:p w:rsidR="00826DB0" w:rsidRPr="00826DB0" w:rsidRDefault="006B08DF" w:rsidP="00B423C4">
      <w:pPr>
        <w:spacing w:before="120" w:after="120" w:line="276" w:lineRule="auto"/>
        <w:rPr>
          <w:b/>
        </w:rPr>
      </w:pPr>
      <w:r>
        <w:rPr>
          <w:b/>
        </w:rPr>
        <w:t>L</w:t>
      </w:r>
      <w:r w:rsidR="00826DB0" w:rsidRPr="00826DB0">
        <w:rPr>
          <w:b/>
        </w:rPr>
        <w:t>iteratur:</w:t>
      </w:r>
    </w:p>
    <w:p w:rsidR="00B901A2" w:rsidRPr="00826DB0" w:rsidRDefault="00B901A2" w:rsidP="00B423C4">
      <w:pPr>
        <w:spacing w:after="120" w:line="276" w:lineRule="auto"/>
      </w:pPr>
      <w:r w:rsidRPr="00826DB0">
        <w:t>Deutscher Investor Relations Verband e.V.</w:t>
      </w:r>
      <w:r>
        <w:t>:</w:t>
      </w:r>
      <w:r w:rsidRPr="00826DB0">
        <w:t xml:space="preserve"> http://www.dirk.org/Index.html</w:t>
      </w:r>
    </w:p>
    <w:p w:rsidR="00826DB0" w:rsidRPr="00826DB0" w:rsidRDefault="00F81C7C" w:rsidP="00B423C4">
      <w:pPr>
        <w:spacing w:after="120" w:line="276" w:lineRule="auto"/>
      </w:pPr>
      <w:r>
        <w:t xml:space="preserve">Kirchhoff, </w:t>
      </w:r>
      <w:proofErr w:type="spellStart"/>
      <w:r>
        <w:t>Piwinger</w:t>
      </w:r>
      <w:proofErr w:type="spellEnd"/>
      <w:r>
        <w:t>:</w:t>
      </w:r>
      <w:r w:rsidR="00826DB0" w:rsidRPr="00826DB0">
        <w:t xml:space="preserve"> Praxishandbuch Investor Relations, 2005</w:t>
      </w:r>
    </w:p>
    <w:p w:rsidR="00826DB0" w:rsidRPr="00826DB0" w:rsidRDefault="00F81C7C" w:rsidP="00B423C4">
      <w:pPr>
        <w:spacing w:after="120" w:line="276" w:lineRule="auto"/>
      </w:pPr>
      <w:proofErr w:type="spellStart"/>
      <w:r>
        <w:t>Oetken</w:t>
      </w:r>
      <w:proofErr w:type="spellEnd"/>
      <w:r>
        <w:t>:</w:t>
      </w:r>
      <w:r w:rsidR="00826DB0" w:rsidRPr="00826DB0">
        <w:t xml:space="preserve"> Die deutschen Small Caps – Definition, Situation und Finanzkommunikation</w:t>
      </w:r>
      <w:r w:rsidR="00826DB0">
        <w:t>, 2010</w:t>
      </w:r>
    </w:p>
    <w:p w:rsidR="00826DB0" w:rsidRDefault="00826DB0" w:rsidP="00B423C4">
      <w:pPr>
        <w:spacing w:after="120" w:line="276" w:lineRule="auto"/>
        <w:rPr>
          <w:rFonts w:cs="Arial"/>
        </w:rPr>
      </w:pPr>
    </w:p>
    <w:sectPr w:rsidR="00826DB0" w:rsidSect="00E111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3C" w:rsidRDefault="0076093C" w:rsidP="00E1115A">
      <w:pPr>
        <w:spacing w:line="240" w:lineRule="auto"/>
      </w:pPr>
      <w:r>
        <w:separator/>
      </w:r>
    </w:p>
  </w:endnote>
  <w:endnote w:type="continuationSeparator" w:id="0">
    <w:p w:rsidR="0076093C" w:rsidRDefault="0076093C" w:rsidP="00E11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3C" w:rsidRDefault="0076093C" w:rsidP="00E1115A">
      <w:pPr>
        <w:spacing w:line="240" w:lineRule="auto"/>
      </w:pPr>
      <w:r>
        <w:separator/>
      </w:r>
    </w:p>
  </w:footnote>
  <w:footnote w:type="continuationSeparator" w:id="0">
    <w:p w:rsidR="0076093C" w:rsidRDefault="0076093C" w:rsidP="00E111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17"/>
    <w:multiLevelType w:val="multilevel"/>
    <w:tmpl w:val="1EA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02AB1"/>
    <w:multiLevelType w:val="hybridMultilevel"/>
    <w:tmpl w:val="21704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B46F59"/>
    <w:multiLevelType w:val="multilevel"/>
    <w:tmpl w:val="097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F014B"/>
    <w:multiLevelType w:val="hybridMultilevel"/>
    <w:tmpl w:val="8C089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9577C0"/>
    <w:multiLevelType w:val="hybridMultilevel"/>
    <w:tmpl w:val="AA9A5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A16D29"/>
    <w:multiLevelType w:val="multilevel"/>
    <w:tmpl w:val="3BC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35CCE"/>
    <w:multiLevelType w:val="multilevel"/>
    <w:tmpl w:val="0F7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5A"/>
    <w:rsid w:val="00017445"/>
    <w:rsid w:val="00031410"/>
    <w:rsid w:val="000651A5"/>
    <w:rsid w:val="00073390"/>
    <w:rsid w:val="0008712E"/>
    <w:rsid w:val="00093AB5"/>
    <w:rsid w:val="000D0C38"/>
    <w:rsid w:val="000D174E"/>
    <w:rsid w:val="000F08BB"/>
    <w:rsid w:val="00122D5B"/>
    <w:rsid w:val="001E0371"/>
    <w:rsid w:val="00217B16"/>
    <w:rsid w:val="0022654F"/>
    <w:rsid w:val="00260A77"/>
    <w:rsid w:val="002A514D"/>
    <w:rsid w:val="002D06CA"/>
    <w:rsid w:val="002D2DF1"/>
    <w:rsid w:val="003711B1"/>
    <w:rsid w:val="003B2B69"/>
    <w:rsid w:val="003C1AA6"/>
    <w:rsid w:val="003F6636"/>
    <w:rsid w:val="004066B7"/>
    <w:rsid w:val="00433572"/>
    <w:rsid w:val="00492961"/>
    <w:rsid w:val="004F0103"/>
    <w:rsid w:val="004F3C44"/>
    <w:rsid w:val="00514E3B"/>
    <w:rsid w:val="00545E1A"/>
    <w:rsid w:val="00550DA8"/>
    <w:rsid w:val="005559EC"/>
    <w:rsid w:val="005824D7"/>
    <w:rsid w:val="005868A7"/>
    <w:rsid w:val="005A3109"/>
    <w:rsid w:val="005C3888"/>
    <w:rsid w:val="005C3F68"/>
    <w:rsid w:val="00606C8A"/>
    <w:rsid w:val="0063545B"/>
    <w:rsid w:val="00663DDA"/>
    <w:rsid w:val="00684E70"/>
    <w:rsid w:val="006B08DF"/>
    <w:rsid w:val="006D02C8"/>
    <w:rsid w:val="006D5F90"/>
    <w:rsid w:val="006E59B9"/>
    <w:rsid w:val="00704088"/>
    <w:rsid w:val="00725128"/>
    <w:rsid w:val="007275D9"/>
    <w:rsid w:val="00737711"/>
    <w:rsid w:val="00751AB5"/>
    <w:rsid w:val="0076024B"/>
    <w:rsid w:val="0076093C"/>
    <w:rsid w:val="00766C1B"/>
    <w:rsid w:val="00791FDD"/>
    <w:rsid w:val="007F0A73"/>
    <w:rsid w:val="00826D09"/>
    <w:rsid w:val="00826DB0"/>
    <w:rsid w:val="008439E3"/>
    <w:rsid w:val="0088674A"/>
    <w:rsid w:val="00922A27"/>
    <w:rsid w:val="00935528"/>
    <w:rsid w:val="00967B02"/>
    <w:rsid w:val="0097012A"/>
    <w:rsid w:val="009C1DFB"/>
    <w:rsid w:val="009D549F"/>
    <w:rsid w:val="00A021CF"/>
    <w:rsid w:val="00A2005A"/>
    <w:rsid w:val="00A25A17"/>
    <w:rsid w:val="00A453C1"/>
    <w:rsid w:val="00B20552"/>
    <w:rsid w:val="00B25092"/>
    <w:rsid w:val="00B34B9D"/>
    <w:rsid w:val="00B423C4"/>
    <w:rsid w:val="00B51339"/>
    <w:rsid w:val="00B73753"/>
    <w:rsid w:val="00B73D06"/>
    <w:rsid w:val="00B901A2"/>
    <w:rsid w:val="00B931FE"/>
    <w:rsid w:val="00B9635A"/>
    <w:rsid w:val="00BB1095"/>
    <w:rsid w:val="00BC2BC2"/>
    <w:rsid w:val="00BE520D"/>
    <w:rsid w:val="00C94B7B"/>
    <w:rsid w:val="00CA4666"/>
    <w:rsid w:val="00CE7023"/>
    <w:rsid w:val="00D037BB"/>
    <w:rsid w:val="00D5079C"/>
    <w:rsid w:val="00D70EFD"/>
    <w:rsid w:val="00DA01CB"/>
    <w:rsid w:val="00DB77B8"/>
    <w:rsid w:val="00E1115A"/>
    <w:rsid w:val="00E206EC"/>
    <w:rsid w:val="00E305AE"/>
    <w:rsid w:val="00E330EF"/>
    <w:rsid w:val="00E64A69"/>
    <w:rsid w:val="00E90619"/>
    <w:rsid w:val="00EA3D24"/>
    <w:rsid w:val="00EC33D8"/>
    <w:rsid w:val="00EC7080"/>
    <w:rsid w:val="00EF0744"/>
    <w:rsid w:val="00F313FC"/>
    <w:rsid w:val="00F81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semiHidden/>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 w:type="paragraph" w:customStyle="1" w:styleId="authors">
    <w:name w:val="authors"/>
    <w:basedOn w:val="Standard"/>
    <w:rsid w:val="00684E70"/>
    <w:pPr>
      <w:spacing w:before="100" w:beforeAutospacing="1" w:after="100" w:afterAutospacing="1" w:line="240" w:lineRule="auto"/>
      <w:jc w:val="left"/>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semiHidden/>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 w:type="paragraph" w:customStyle="1" w:styleId="authors">
    <w:name w:val="authors"/>
    <w:basedOn w:val="Standard"/>
    <w:rsid w:val="00684E70"/>
    <w:pPr>
      <w:spacing w:before="100" w:beforeAutospacing="1" w:after="100" w:afterAutospacing="1" w:line="240" w:lineRule="auto"/>
      <w:jc w:val="left"/>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7284">
      <w:bodyDiv w:val="1"/>
      <w:marLeft w:val="0"/>
      <w:marRight w:val="0"/>
      <w:marTop w:val="0"/>
      <w:marBottom w:val="0"/>
      <w:divBdr>
        <w:top w:val="none" w:sz="0" w:space="0" w:color="auto"/>
        <w:left w:val="none" w:sz="0" w:space="0" w:color="auto"/>
        <w:bottom w:val="none" w:sz="0" w:space="0" w:color="auto"/>
        <w:right w:val="none" w:sz="0" w:space="0" w:color="auto"/>
      </w:divBdr>
    </w:div>
    <w:div w:id="194462305">
      <w:bodyDiv w:val="1"/>
      <w:marLeft w:val="0"/>
      <w:marRight w:val="0"/>
      <w:marTop w:val="0"/>
      <w:marBottom w:val="0"/>
      <w:divBdr>
        <w:top w:val="none" w:sz="0" w:space="0" w:color="auto"/>
        <w:left w:val="none" w:sz="0" w:space="0" w:color="auto"/>
        <w:bottom w:val="none" w:sz="0" w:space="0" w:color="auto"/>
        <w:right w:val="none" w:sz="0" w:space="0" w:color="auto"/>
      </w:divBdr>
    </w:div>
    <w:div w:id="206649957">
      <w:bodyDiv w:val="1"/>
      <w:marLeft w:val="0"/>
      <w:marRight w:val="0"/>
      <w:marTop w:val="0"/>
      <w:marBottom w:val="0"/>
      <w:divBdr>
        <w:top w:val="none" w:sz="0" w:space="0" w:color="auto"/>
        <w:left w:val="none" w:sz="0" w:space="0" w:color="auto"/>
        <w:bottom w:val="none" w:sz="0" w:space="0" w:color="auto"/>
        <w:right w:val="none" w:sz="0" w:space="0" w:color="auto"/>
      </w:divBdr>
    </w:div>
    <w:div w:id="433944252">
      <w:bodyDiv w:val="1"/>
      <w:marLeft w:val="0"/>
      <w:marRight w:val="0"/>
      <w:marTop w:val="0"/>
      <w:marBottom w:val="0"/>
      <w:divBdr>
        <w:top w:val="none" w:sz="0" w:space="0" w:color="auto"/>
        <w:left w:val="none" w:sz="0" w:space="0" w:color="auto"/>
        <w:bottom w:val="none" w:sz="0" w:space="0" w:color="auto"/>
        <w:right w:val="none" w:sz="0" w:space="0" w:color="auto"/>
      </w:divBdr>
    </w:div>
    <w:div w:id="538785462">
      <w:bodyDiv w:val="1"/>
      <w:marLeft w:val="0"/>
      <w:marRight w:val="0"/>
      <w:marTop w:val="0"/>
      <w:marBottom w:val="0"/>
      <w:divBdr>
        <w:top w:val="none" w:sz="0" w:space="0" w:color="auto"/>
        <w:left w:val="none" w:sz="0" w:space="0" w:color="auto"/>
        <w:bottom w:val="none" w:sz="0" w:space="0" w:color="auto"/>
        <w:right w:val="none" w:sz="0" w:space="0" w:color="auto"/>
      </w:divBdr>
    </w:div>
    <w:div w:id="560752453">
      <w:bodyDiv w:val="1"/>
      <w:marLeft w:val="0"/>
      <w:marRight w:val="0"/>
      <w:marTop w:val="0"/>
      <w:marBottom w:val="0"/>
      <w:divBdr>
        <w:top w:val="none" w:sz="0" w:space="0" w:color="auto"/>
        <w:left w:val="none" w:sz="0" w:space="0" w:color="auto"/>
        <w:bottom w:val="none" w:sz="0" w:space="0" w:color="auto"/>
        <w:right w:val="none" w:sz="0" w:space="0" w:color="auto"/>
      </w:divBdr>
    </w:div>
    <w:div w:id="630673380">
      <w:bodyDiv w:val="1"/>
      <w:marLeft w:val="0"/>
      <w:marRight w:val="0"/>
      <w:marTop w:val="0"/>
      <w:marBottom w:val="0"/>
      <w:divBdr>
        <w:top w:val="none" w:sz="0" w:space="0" w:color="auto"/>
        <w:left w:val="none" w:sz="0" w:space="0" w:color="auto"/>
        <w:bottom w:val="none" w:sz="0" w:space="0" w:color="auto"/>
        <w:right w:val="none" w:sz="0" w:space="0" w:color="auto"/>
      </w:divBdr>
    </w:div>
    <w:div w:id="766923453">
      <w:bodyDiv w:val="1"/>
      <w:marLeft w:val="0"/>
      <w:marRight w:val="0"/>
      <w:marTop w:val="0"/>
      <w:marBottom w:val="0"/>
      <w:divBdr>
        <w:top w:val="none" w:sz="0" w:space="0" w:color="auto"/>
        <w:left w:val="none" w:sz="0" w:space="0" w:color="auto"/>
        <w:bottom w:val="none" w:sz="0" w:space="0" w:color="auto"/>
        <w:right w:val="none" w:sz="0" w:space="0" w:color="auto"/>
      </w:divBdr>
      <w:divsChild>
        <w:div w:id="517623077">
          <w:marLeft w:val="0"/>
          <w:marRight w:val="0"/>
          <w:marTop w:val="0"/>
          <w:marBottom w:val="0"/>
          <w:divBdr>
            <w:top w:val="none" w:sz="0" w:space="0" w:color="auto"/>
            <w:left w:val="none" w:sz="0" w:space="0" w:color="auto"/>
            <w:bottom w:val="none" w:sz="0" w:space="0" w:color="auto"/>
            <w:right w:val="none" w:sz="0" w:space="0" w:color="auto"/>
          </w:divBdr>
        </w:div>
      </w:divsChild>
    </w:div>
    <w:div w:id="779298971">
      <w:bodyDiv w:val="1"/>
      <w:marLeft w:val="0"/>
      <w:marRight w:val="0"/>
      <w:marTop w:val="0"/>
      <w:marBottom w:val="0"/>
      <w:divBdr>
        <w:top w:val="none" w:sz="0" w:space="0" w:color="auto"/>
        <w:left w:val="none" w:sz="0" w:space="0" w:color="auto"/>
        <w:bottom w:val="none" w:sz="0" w:space="0" w:color="auto"/>
        <w:right w:val="none" w:sz="0" w:space="0" w:color="auto"/>
      </w:divBdr>
    </w:div>
    <w:div w:id="860699612">
      <w:bodyDiv w:val="1"/>
      <w:marLeft w:val="0"/>
      <w:marRight w:val="0"/>
      <w:marTop w:val="0"/>
      <w:marBottom w:val="0"/>
      <w:divBdr>
        <w:top w:val="none" w:sz="0" w:space="0" w:color="auto"/>
        <w:left w:val="none" w:sz="0" w:space="0" w:color="auto"/>
        <w:bottom w:val="none" w:sz="0" w:space="0" w:color="auto"/>
        <w:right w:val="none" w:sz="0" w:space="0" w:color="auto"/>
      </w:divBdr>
    </w:div>
    <w:div w:id="1073308739">
      <w:bodyDiv w:val="1"/>
      <w:marLeft w:val="0"/>
      <w:marRight w:val="0"/>
      <w:marTop w:val="0"/>
      <w:marBottom w:val="0"/>
      <w:divBdr>
        <w:top w:val="none" w:sz="0" w:space="0" w:color="auto"/>
        <w:left w:val="none" w:sz="0" w:space="0" w:color="auto"/>
        <w:bottom w:val="none" w:sz="0" w:space="0" w:color="auto"/>
        <w:right w:val="none" w:sz="0" w:space="0" w:color="auto"/>
      </w:divBdr>
    </w:div>
    <w:div w:id="1442411280">
      <w:bodyDiv w:val="1"/>
      <w:marLeft w:val="0"/>
      <w:marRight w:val="0"/>
      <w:marTop w:val="0"/>
      <w:marBottom w:val="0"/>
      <w:divBdr>
        <w:top w:val="none" w:sz="0" w:space="0" w:color="auto"/>
        <w:left w:val="none" w:sz="0" w:space="0" w:color="auto"/>
        <w:bottom w:val="none" w:sz="0" w:space="0" w:color="auto"/>
        <w:right w:val="none" w:sz="0" w:space="0" w:color="auto"/>
      </w:divBdr>
    </w:div>
    <w:div w:id="17234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9D6AF-42DD-4383-BC7D-D6BEA1C7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Tobias Tyll</cp:lastModifiedBy>
  <cp:revision>9</cp:revision>
  <dcterms:created xsi:type="dcterms:W3CDTF">2012-02-13T10:11:00Z</dcterms:created>
  <dcterms:modified xsi:type="dcterms:W3CDTF">2012-07-17T14:02:00Z</dcterms:modified>
</cp:coreProperties>
</file>